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sz w:val="44"/>
          <w:szCs w:val="44"/>
          <w:lang w:val="en-US" w:eastAsia="zh-CN"/>
        </w:rPr>
        <w:t>G98海南环岛高速隧道提质升级工程等六个项目决算编制</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2023</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8</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pageBreakBefore/>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w w:val="100"/>
          <w:kern w:val="0"/>
          <w:sz w:val="32"/>
          <w:szCs w:val="32"/>
          <w:shd w:val="clear"/>
          <w:lang w:val="en-US" w:eastAsia="zh-CN"/>
        </w:rPr>
        <w:t>为进一步规范公路工程竣（交）工验收工作，完善项目管理竣工决算审计相关资料，根据《海南省交通运输厅关于加强和规范交通工程项目决算审计有关工作的通知》</w:t>
      </w:r>
      <w:r>
        <w:rPr>
          <w:rFonts w:hint="eastAsia" w:ascii="仿宋_GB2312" w:hAnsi="仿宋_GB2312" w:eastAsia="仿宋_GB2312" w:cs="仿宋_GB2312"/>
          <w:w w:val="100"/>
          <w:kern w:val="0"/>
          <w:sz w:val="32"/>
          <w:szCs w:val="32"/>
          <w:highlight w:val="none"/>
          <w:shd w:val="clear"/>
          <w:lang w:val="en-US" w:eastAsia="zh-CN"/>
        </w:rPr>
        <w:t>（交审[2022]25号）</w:t>
      </w:r>
      <w:r>
        <w:rPr>
          <w:rFonts w:hint="eastAsia" w:ascii="仿宋_GB2312" w:hAnsi="仿宋_GB2312" w:eastAsia="仿宋_GB2312" w:cs="仿宋_GB2312"/>
          <w:w w:val="100"/>
          <w:kern w:val="0"/>
          <w:sz w:val="32"/>
          <w:szCs w:val="32"/>
          <w:shd w:val="clear"/>
          <w:lang w:val="en-US" w:eastAsia="zh-CN"/>
        </w:rPr>
        <w:t>，我司拟对“G98海南环岛高速隧道提质升级工程、G98海南环岛高速K296+118盐灶河大桥（加固）改造工程、G98海南环岛高速K283+300（上行）边坡水毁应急处治工程、2022年G98海南环岛高速三亚-崖城段路面标线修复养护工程、2022年G9811海三高速海口-琼中段路面标线修复养护工程、G98海南环岛高速公路水毁修复养护工程（K152+732～K152+924、K158+192～K158+540、K160+718～K161+065、K266+510～K266+648）”六个项目进行竣工决算编制工作。</w:t>
      </w:r>
      <w:r>
        <w:rPr>
          <w:rFonts w:hint="eastAsia" w:ascii="仿宋_GB2312" w:hAnsi="仿宋_GB2312" w:eastAsia="仿宋_GB2312" w:cs="仿宋_GB2312"/>
          <w:sz w:val="32"/>
          <w:szCs w:val="32"/>
          <w:u w:val="none"/>
          <w:lang w:val="en-US" w:eastAsia="zh-CN"/>
        </w:rPr>
        <w:t>我司</w:t>
      </w:r>
      <w:r>
        <w:rPr>
          <w:rFonts w:hint="eastAsia" w:ascii="仿宋_GB2312" w:hAnsi="仿宋_GB2312" w:eastAsia="仿宋_GB2312" w:cs="仿宋_GB2312"/>
          <w:sz w:val="32"/>
          <w:szCs w:val="32"/>
          <w:u w:val="none"/>
        </w:rPr>
        <w:t>拟</w:t>
      </w:r>
      <w:r>
        <w:rPr>
          <w:rFonts w:hint="eastAsia" w:ascii="仿宋_GB2312" w:hAnsi="仿宋_GB2312" w:eastAsia="仿宋_GB2312" w:cs="仿宋_GB2312"/>
          <w:sz w:val="32"/>
          <w:szCs w:val="32"/>
          <w:u w:val="none"/>
          <w:lang w:val="en-US" w:eastAsia="zh-CN"/>
        </w:rPr>
        <w:t>通过比选方式</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家合格的造价咨询单位对以上六个项目进行竣工决算编制工作</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家合格的造价咨询单位对以上六个项目进行竣工决算编制工作</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w:t>
      </w:r>
      <w:r>
        <w:rPr>
          <w:rFonts w:hint="eastAsia" w:ascii="仿宋_GB2312" w:hAnsi="仿宋_GB2312" w:eastAsia="仿宋_GB2312" w:cs="仿宋_GB2312"/>
          <w:sz w:val="32"/>
          <w:szCs w:val="32"/>
          <w:highlight w:val="none"/>
          <w:u w:val="single"/>
          <w:lang w:val="en-US" w:eastAsia="zh-CN"/>
        </w:rPr>
        <w:t>2020年8月1日至申请文件递交截止之日止，</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成立不足三年的从成立之日起算</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sz w:val="32"/>
          <w:szCs w:val="32"/>
          <w:highlight w:val="none"/>
          <w:u w:val="none"/>
          <w:lang w:val="en-US" w:eastAsia="zh-CN"/>
        </w:rPr>
        <w:t>1、</w:t>
      </w:r>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依法设立的从事工程造价咨询业务的单位，在海南省工程建设标准定额信息网完成《诚信档案手册》登记。(打印海南省工程建设标准定额信息网生成的“海南省建设工程造价咨询企业信用管理手册”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具有近三年内</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（2020年8月1日至申请文件递交截止之日止，成立不足三年的从成立之日起算）</w:t>
      </w:r>
      <w:r>
        <w:rPr>
          <w:rFonts w:hint="eastAsia" w:ascii="仿宋_GB2312" w:hAnsi="仿宋_GB2312" w:eastAsia="仿宋_GB2312" w:cs="仿宋_GB2312"/>
          <w:color w:val="auto"/>
          <w:sz w:val="32"/>
          <w:szCs w:val="32"/>
          <w:highlight w:val="none"/>
          <w:lang w:val="en-US" w:eastAsia="zh-CN"/>
        </w:rPr>
        <w:t>1个及以上高速公路工程竣工决算咨询工作的业绩。</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提</w:t>
      </w:r>
      <w:r>
        <w:rPr>
          <w:rFonts w:hint="eastAsia" w:ascii="仿宋_GB2312" w:hAnsi="仿宋_GB2312" w:eastAsia="仿宋_GB2312" w:cs="仿宋_GB2312"/>
          <w:sz w:val="32"/>
          <w:szCs w:val="32"/>
          <w:highlight w:val="none"/>
          <w:u w:val="none"/>
        </w:rPr>
        <w:t>供</w:t>
      </w:r>
      <w:r>
        <w:rPr>
          <w:rFonts w:hint="eastAsia" w:ascii="仿宋_GB2312" w:hAnsi="仿宋_GB2312" w:eastAsia="仿宋_GB2312" w:cs="仿宋_GB2312"/>
          <w:sz w:val="32"/>
          <w:szCs w:val="32"/>
          <w:highlight w:val="none"/>
          <w:u w:val="none"/>
          <w:lang w:val="en-US" w:eastAsia="zh-CN"/>
        </w:rPr>
        <w:t>咨询</w:t>
      </w:r>
      <w:r>
        <w:rPr>
          <w:rFonts w:hint="eastAsia" w:ascii="仿宋_GB2312" w:hAnsi="仿宋_GB2312" w:eastAsia="仿宋_GB2312" w:cs="仿宋_GB2312"/>
          <w:sz w:val="32"/>
          <w:szCs w:val="32"/>
          <w:highlight w:val="none"/>
          <w:u w:val="none"/>
        </w:rPr>
        <w:t>合同复印件加盖单位章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业绩时间以合同签订时间为准</w:t>
      </w:r>
      <w:r>
        <w:rPr>
          <w:rFonts w:hint="eastAsia" w:ascii="Arial" w:hAnsi="Arial" w:eastAsia="仿宋_GB2312" w:cs="Arial"/>
          <w:bCs/>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w w:val="100"/>
          <w:kern w:val="0"/>
          <w:sz w:val="32"/>
          <w:szCs w:val="32"/>
          <w:shd w:val="clear"/>
          <w:lang w:val="en-US" w:eastAsia="zh-CN"/>
        </w:rPr>
        <w:t>G98海南环岛高速隧道提质升级工程批复总投资为934.47万元；G98海南环岛高速K296+118盐灶河大桥（加固）改造工程批复总投资为487.06万元；G98海南环岛高速K283+300（上行）边坡水毁应急处治工程批复总投资为704.31万元；2022年G98海南环岛高速三亚-崖城段路面标线修复养护工程批复总投资为356.72万元；2022年G9811海三高速海口-琼中段路面标线修复养护工程批复总投资为587.74万元；G98海南环岛高速公路水毁修复养护工程（K152+732～K152+924、K158+192～K158+540、K160+718～K161+065、K266+510～K266+648）批复总投资为554.35万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六个项目的决算编制服务费预估金额为</w:t>
      </w:r>
      <w:r>
        <w:rPr>
          <w:rFonts w:hint="eastAsia" w:ascii="仿宋_GB2312" w:hAnsi="仿宋_GB2312" w:eastAsia="仿宋_GB2312" w:cs="仿宋_GB2312"/>
          <w:sz w:val="32"/>
          <w:szCs w:val="32"/>
          <w:u w:val="single"/>
          <w:lang w:val="en-US" w:eastAsia="zh-CN"/>
        </w:rPr>
        <w:t>245415.53</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报价超出预算金额</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则</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视为无效报价</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w w:val="100"/>
          <w:kern w:val="0"/>
          <w:sz w:val="32"/>
          <w:szCs w:val="32"/>
          <w:shd w:val="clear"/>
          <w:lang w:val="en-US" w:eastAsia="zh-CN"/>
        </w:rPr>
        <w:t>其中：工程决算编制费以项目总投资为计算基数，参考《关于海南省建设工程造价咨询服务收费参考价格的通知》（琼价协[2020]01号）的“竣工结算编制”中“土建工程（包括装配式）、市政工程”的费率计算；财务决算编制费参考《海南省物价局省财政厅关于印发&lt;海南省会计师事务所收费管理暂行办法&gt;的通知》（琼价费管[2011]176号）中的“基建工程预决算审计：以投资额的2.5‰计费”</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u w:val="none"/>
          <w:lang w:val="en-US" w:eastAsia="zh-CN"/>
        </w:rPr>
        <w:t>每个项目的工期分别为</w:t>
      </w:r>
      <w:r>
        <w:rPr>
          <w:rFonts w:hint="eastAsia" w:ascii="仿宋_GB2312" w:hAnsi="仿宋_GB2312" w:eastAsia="仿宋_GB2312" w:cs="仿宋_GB2312"/>
          <w:color w:val="auto"/>
          <w:sz w:val="32"/>
          <w:szCs w:val="32"/>
          <w:u w:val="single"/>
          <w:lang w:val="en-US" w:eastAsia="zh-CN"/>
        </w:rPr>
        <w:t>30</w:t>
      </w:r>
      <w:r>
        <w:rPr>
          <w:rFonts w:hint="eastAsia" w:ascii="仿宋_GB2312" w:hAnsi="仿宋_GB2312" w:eastAsia="仿宋_GB2312" w:cs="仿宋_GB2312"/>
          <w:sz w:val="32"/>
          <w:szCs w:val="32"/>
          <w:u w:val="none"/>
          <w:lang w:val="en-US" w:eastAsia="zh-CN"/>
        </w:rPr>
        <w:t>日历天，自</w:t>
      </w:r>
      <w:r>
        <w:rPr>
          <w:rFonts w:hint="eastAsia" w:ascii="仿宋_GB2312" w:hAnsi="仿宋_GB2312" w:eastAsia="仿宋_GB2312" w:cs="仿宋_GB2312"/>
          <w:sz w:val="32"/>
          <w:szCs w:val="32"/>
          <w:u w:val="single"/>
          <w:lang w:val="en-US" w:eastAsia="zh-CN"/>
        </w:rPr>
        <w:t>建设单位发出项目开始通知之日</w:t>
      </w:r>
      <w:r>
        <w:rPr>
          <w:rFonts w:hint="eastAsia" w:ascii="仿宋_GB2312" w:hAnsi="仿宋_GB2312" w:eastAsia="仿宋_GB2312" w:cs="仿宋_GB2312"/>
          <w:sz w:val="32"/>
          <w:szCs w:val="32"/>
          <w:u w:val="none"/>
          <w:lang w:val="en-US" w:eastAsia="zh-CN"/>
        </w:rPr>
        <w:t>起算。</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pStyle w:val="10"/>
        <w:widowControl/>
        <w:spacing w:line="560" w:lineRule="exact"/>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（2020年8月1日至申请文件递交截止之日止，</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成立不足三年的从成立之日起算</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1、依法设立的从事工程造价咨询业务的单位，在海南省工程建设标准定额信息网完成《诚信档案手册》登记。(打印海南省工程建设标准定额信息网生成的“海南省建设工程造价咨询企业信用管理手册”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具有近三年内</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（2020年8月1日至申请文件递交截止之日止，成立不足三年的从成立之日起算）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1个及以上</w:t>
      </w:r>
      <w:r>
        <w:rPr>
          <w:rFonts w:hint="eastAsia" w:ascii="仿宋_GB2312" w:hAnsi="仿宋_GB2312" w:eastAsia="仿宋_GB2312" w:cs="仿宋_GB2312"/>
          <w:color w:val="auto"/>
          <w:sz w:val="32"/>
          <w:szCs w:val="32"/>
          <w:highlight w:val="none"/>
          <w:lang w:val="en-US" w:eastAsia="zh-CN"/>
        </w:rPr>
        <w:t>高速公路工程竣工决算咨询工作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的业绩。</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提</w:t>
      </w:r>
      <w:r>
        <w:rPr>
          <w:rFonts w:hint="eastAsia" w:ascii="仿宋_GB2312" w:hAnsi="仿宋_GB2312" w:eastAsia="仿宋_GB2312" w:cs="仿宋_GB2312"/>
          <w:sz w:val="32"/>
          <w:szCs w:val="32"/>
          <w:highlight w:val="none"/>
          <w:u w:val="none"/>
        </w:rPr>
        <w:t>供</w:t>
      </w:r>
      <w:r>
        <w:rPr>
          <w:rFonts w:hint="eastAsia" w:ascii="仿宋_GB2312" w:hAnsi="仿宋_GB2312" w:eastAsia="仿宋_GB2312" w:cs="仿宋_GB2312"/>
          <w:sz w:val="32"/>
          <w:szCs w:val="32"/>
          <w:highlight w:val="none"/>
          <w:u w:val="none"/>
          <w:lang w:val="en-US" w:eastAsia="zh-CN"/>
        </w:rPr>
        <w:t>咨询</w:t>
      </w:r>
      <w:r>
        <w:rPr>
          <w:rFonts w:hint="eastAsia" w:ascii="仿宋_GB2312" w:hAnsi="仿宋_GB2312" w:eastAsia="仿宋_GB2312" w:cs="仿宋_GB2312"/>
          <w:sz w:val="32"/>
          <w:szCs w:val="32"/>
          <w:highlight w:val="none"/>
          <w:u w:val="none"/>
        </w:rPr>
        <w:t>合同复印件加盖单位章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业绩时间以合同签订时间为准</w:t>
      </w:r>
      <w:r>
        <w:rPr>
          <w:rFonts w:hint="eastAsia" w:ascii="Arial" w:hAnsi="Arial" w:eastAsia="仿宋_GB2312" w:cs="Arial"/>
          <w:bCs/>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2023</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highlight w:val="none"/>
          <w:u w:val="single"/>
          <w:lang w:val="en-US" w:eastAsia="zh-CN"/>
        </w:rPr>
        <w:t>8</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9</w:t>
      </w:r>
      <w:r>
        <w:rPr>
          <w:rFonts w:hint="eastAsia" w:ascii="仿宋_GB2312" w:hAnsi="仿宋_GB2312" w:eastAsia="仿宋_GB2312" w:cs="仿宋_GB2312"/>
          <w:bCs/>
          <w:sz w:val="32"/>
          <w:szCs w:val="32"/>
          <w:highlight w:val="none"/>
          <w:u w:val="single"/>
        </w:rPr>
        <w:t>日1</w:t>
      </w:r>
      <w:r>
        <w:rPr>
          <w:rFonts w:hint="eastAsia" w:ascii="仿宋_GB2312" w:hAnsi="仿宋_GB2312" w:eastAsia="仿宋_GB2312" w:cs="仿宋_GB2312"/>
          <w:bCs/>
          <w:sz w:val="32"/>
          <w:szCs w:val="32"/>
          <w:u w:val="single"/>
        </w:rPr>
        <w:t>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u w:val="single"/>
          <w:lang w:val="en-US" w:eastAsia="zh-CN"/>
        </w:rPr>
        <w:t>周工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i w:val="0"/>
          <w:iCs w:val="0"/>
          <w:caps w:val="0"/>
          <w:color w:val="auto"/>
          <w:spacing w:val="0"/>
          <w:sz w:val="32"/>
          <w:szCs w:val="32"/>
          <w:u w:val="single"/>
          <w:shd w:val="clear" w:fill="auto"/>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val="0"/>
          <w:bCs w:val="0"/>
          <w:sz w:val="44"/>
          <w:szCs w:val="44"/>
          <w:u w:val="single"/>
          <w:lang w:val="en-US" w:eastAsia="zh-CN"/>
        </w:rPr>
        <w:t>G98海南环岛高速隧道提质升级工程等六个项目决算编制</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（2020年8月1日至申请文件递交截止之日止，</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成立不足三年的从成立之日起算）</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在</w:t>
      </w:r>
      <w:r>
        <w:rPr>
          <w:rFonts w:hint="eastAsia" w:ascii="仿宋_GB2312" w:hAnsi="仿宋_GB2312" w:eastAsia="仿宋_GB2312" w:cs="仿宋_GB2312"/>
          <w:b w:val="0"/>
          <w:bCs/>
          <w:sz w:val="32"/>
          <w:szCs w:val="32"/>
          <w:highlight w:val="none"/>
          <w:u w:val="none"/>
          <w:lang w:val="en-US" w:eastAsia="zh-CN"/>
        </w:rPr>
        <w:t>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FF0000"/>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w:t>
      </w:r>
      <w:r>
        <w:rPr>
          <w:rFonts w:hint="eastAsia" w:ascii="仿宋_GB2312" w:hAnsi="仿宋_GB2312" w:eastAsia="仿宋_GB2312" w:cs="仿宋_GB2312"/>
          <w:bCs/>
          <w:color w:val="000000" w:themeColor="text1"/>
          <w:sz w:val="32"/>
          <w:szCs w:val="32"/>
          <w:highlight w:val="none"/>
          <w:u w:val="none"/>
          <w:lang w:val="en-US" w:eastAsia="zh-CN"/>
          <w14:textFill>
            <w14:solidFill>
              <w14:schemeClr w14:val="tx1"/>
            </w14:solidFill>
          </w14:textFill>
        </w:rPr>
        <w:t>依法设立的从事工程造价咨询业务的单位，在海南省工程建设标准定额信息网完成《诚信档案手册》登记。(打印海南省工程建设标准定额信息网生成的“海南省建设工程造价咨询企业信用管理手册”加盖单位章)。</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Arial" w:hAnsi="Arial" w:eastAsia="仿宋_GB2312" w:cs="Arial"/>
          <w:bCs/>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sz w:val="32"/>
          <w:szCs w:val="32"/>
          <w:highlight w:val="none"/>
          <w:lang w:val="en-US" w:eastAsia="zh-CN"/>
        </w:rPr>
        <w:t>具有近三年内</w:t>
      </w:r>
      <w:r>
        <w:rPr>
          <w:rFonts w:hint="eastAsia" w:ascii="仿宋_GB2312" w:hAnsi="仿宋_GB2312" w:eastAsia="仿宋_GB2312" w:cs="仿宋_GB2312"/>
          <w:sz w:val="32"/>
          <w:szCs w:val="32"/>
          <w:highlight w:val="none"/>
          <w:u w:val="single"/>
          <w:lang w:val="en-US" w:eastAsia="zh-CN"/>
        </w:rPr>
        <w:t>（2020年8月1日至申请文件递交截止之日止，</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成立不足三年的从成立之日起算）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1个及以上</w:t>
      </w:r>
      <w:r>
        <w:rPr>
          <w:rFonts w:hint="eastAsia" w:ascii="仿宋_GB2312" w:hAnsi="仿宋_GB2312" w:eastAsia="仿宋_GB2312" w:cs="仿宋_GB2312"/>
          <w:color w:val="auto"/>
          <w:sz w:val="32"/>
          <w:szCs w:val="32"/>
          <w:highlight w:val="none"/>
          <w:lang w:val="en-US" w:eastAsia="zh-CN"/>
        </w:rPr>
        <w:t>高速公路工程竣工决算咨询工作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的业绩。</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sz w:val="32"/>
          <w:szCs w:val="32"/>
          <w:highlight w:val="none"/>
          <w:u w:val="none"/>
        </w:rPr>
        <w:t>提供</w:t>
      </w:r>
      <w:r>
        <w:rPr>
          <w:rFonts w:hint="eastAsia" w:ascii="仿宋_GB2312" w:hAnsi="仿宋_GB2312" w:eastAsia="仿宋_GB2312" w:cs="仿宋_GB2312"/>
          <w:sz w:val="32"/>
          <w:szCs w:val="32"/>
          <w:highlight w:val="none"/>
          <w:u w:val="none"/>
          <w:lang w:val="en-US" w:eastAsia="zh-CN"/>
        </w:rPr>
        <w:t>咨询</w:t>
      </w:r>
      <w:r>
        <w:rPr>
          <w:rFonts w:hint="eastAsia" w:ascii="仿宋_GB2312" w:hAnsi="仿宋_GB2312" w:eastAsia="仿宋_GB2312" w:cs="仿宋_GB2312"/>
          <w:sz w:val="32"/>
          <w:szCs w:val="32"/>
          <w:highlight w:val="none"/>
          <w:u w:val="none"/>
        </w:rPr>
        <w:t>合同复印件加盖单位章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业绩时间以合同签订时间为准</w:t>
      </w:r>
      <w:r>
        <w:rPr>
          <w:rFonts w:hint="eastAsia" w:ascii="Arial" w:hAnsi="Arial" w:eastAsia="仿宋_GB2312" w:cs="Arial"/>
          <w:bCs/>
          <w:sz w:val="32"/>
          <w:szCs w:val="32"/>
          <w:highlight w:val="none"/>
          <w:u w:val="none"/>
          <w:lang w:val="en-US" w:eastAsia="zh-CN"/>
        </w:rPr>
        <w:t>）</w:t>
      </w:r>
    </w:p>
    <w:p>
      <w:pPr>
        <w:keepNext w:val="0"/>
        <w:keepLines w:val="0"/>
        <w:pageBreakBefore/>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G98海南环岛高速隧道提质升级工程等六个项目决算编制</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highlight w:val="none"/>
        </w:rPr>
        <w:t>的报价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下浮率：</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%，保留两位小数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rPr>
        <w:t>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highlight w:val="none"/>
          <w:u w:val="single"/>
          <w:lang w:eastAsia="zh-CN"/>
        </w:rPr>
        <w:t>（</w:t>
      </w:r>
      <w:r>
        <w:rPr>
          <w:rFonts w:hint="eastAsia" w:ascii="仿宋_GB2312" w:hAnsi="仿宋_GB2312" w:eastAsia="仿宋_GB2312" w:cs="仿宋_GB2312"/>
          <w:color w:val="000000" w:themeColor="text1"/>
          <w:sz w:val="32"/>
          <w:szCs w:val="32"/>
          <w:highlight w:val="none"/>
          <w:u w:val="single"/>
          <w:lang w:eastAsia="zh-CN"/>
          <w14:textFill>
            <w14:solidFill>
              <w14:schemeClr w14:val="tx1"/>
            </w14:solidFill>
          </w14:textFill>
        </w:rPr>
        <w:t>实际</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决算编制服务</w:t>
      </w:r>
      <w:r>
        <w:rPr>
          <w:rFonts w:hint="eastAsia" w:ascii="仿宋_GB2312" w:hAnsi="仿宋_GB2312" w:eastAsia="仿宋_GB2312" w:cs="仿宋_GB2312"/>
          <w:color w:val="000000" w:themeColor="text1"/>
          <w:sz w:val="32"/>
          <w:szCs w:val="32"/>
          <w:highlight w:val="none"/>
          <w:u w:val="single"/>
          <w:lang w:eastAsia="zh-CN"/>
          <w14:textFill>
            <w14:solidFill>
              <w14:schemeClr w14:val="tx1"/>
            </w14:solidFill>
          </w14:textFill>
        </w:rPr>
        <w:t>费以</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最终审计结果</w:t>
      </w:r>
      <w:r>
        <w:rPr>
          <w:rFonts w:hint="eastAsia" w:ascii="仿宋_GB2312" w:hAnsi="仿宋_GB2312" w:eastAsia="仿宋_GB2312" w:cs="仿宋_GB2312"/>
          <w:color w:val="000000" w:themeColor="text1"/>
          <w:sz w:val="32"/>
          <w:szCs w:val="32"/>
          <w:highlight w:val="none"/>
          <w:u w:val="singl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总投资</w:t>
      </w:r>
      <w:r>
        <w:rPr>
          <w:rFonts w:hint="eastAsia" w:ascii="仿宋_GB2312" w:hAnsi="仿宋_GB2312" w:eastAsia="仿宋_GB2312" w:cs="仿宋_GB2312"/>
          <w:color w:val="000000" w:themeColor="text1"/>
          <w:sz w:val="32"/>
          <w:szCs w:val="32"/>
          <w:highlight w:val="none"/>
          <w:u w:val="single"/>
          <w:lang w:eastAsia="zh-CN"/>
          <w14:textFill>
            <w14:solidFill>
              <w14:schemeClr w14:val="tx1"/>
            </w14:solidFill>
          </w14:textFill>
        </w:rPr>
        <w:t>为基数，</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根据报价的下浮率</w:t>
      </w:r>
      <w:r>
        <w:rPr>
          <w:rFonts w:hint="eastAsia" w:ascii="仿宋_GB2312" w:hAnsi="仿宋_GB2312" w:eastAsia="仿宋_GB2312" w:cs="仿宋_GB2312"/>
          <w:color w:val="000000" w:themeColor="text1"/>
          <w:sz w:val="32"/>
          <w:szCs w:val="32"/>
          <w:highlight w:val="none"/>
          <w:u w:val="single"/>
          <w:lang w:eastAsia="zh-CN"/>
          <w14:textFill>
            <w14:solidFill>
              <w14:schemeClr w14:val="tx1"/>
            </w14:solidFill>
          </w14:textFill>
        </w:rPr>
        <w:t>进行计算）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服务期限为</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日历天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如我方中选，我方将</w:t>
      </w:r>
      <w:r>
        <w:rPr>
          <w:rFonts w:hint="eastAsia" w:ascii="仿宋_GB2312" w:hAnsi="仿宋_GB2312" w:eastAsia="仿宋_GB2312" w:cs="仿宋_GB2312"/>
          <w:color w:val="000000"/>
          <w:sz w:val="32"/>
          <w:szCs w:val="32"/>
          <w:lang w:val="en-US" w:eastAsia="zh-CN"/>
        </w:rPr>
        <w:t>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G98海南环岛高速隧道提质升级工程等六个项目决算编制</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（2020年</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8月1日</w:t>
      </w:r>
      <w:r>
        <w:rPr>
          <w:rFonts w:hint="eastAsia" w:ascii="仿宋_GB2312" w:hAnsi="仿宋_GB2312" w:eastAsia="仿宋_GB2312" w:cs="仿宋_GB2312"/>
          <w:sz w:val="32"/>
          <w:szCs w:val="32"/>
          <w:highlight w:val="none"/>
          <w:u w:val="single"/>
          <w:lang w:val="en-US" w:eastAsia="zh-CN"/>
        </w:rPr>
        <w:t>至申请文件递交截止之日止</w:t>
      </w:r>
      <w:r>
        <w:rPr>
          <w:rFonts w:hint="eastAsia" w:ascii="仿宋_GB2312" w:hAnsi="仿宋_GB2312" w:eastAsia="仿宋_GB2312" w:cs="仿宋_GB2312"/>
          <w:color w:val="auto"/>
          <w:sz w:val="32"/>
          <w:szCs w:val="32"/>
          <w:highlight w:val="none"/>
          <w:u w:val="single"/>
          <w:lang w:val="en-US" w:eastAsia="zh-CN"/>
        </w:rPr>
        <w:t>，成立不足三年的从成立之日起算</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MmI4YzI5OWQxMDM4NTdmYjU2Y2E4ZjI1NmZlMjE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865E3"/>
    <w:rsid w:val="03A62ED2"/>
    <w:rsid w:val="03A825F0"/>
    <w:rsid w:val="04901F5F"/>
    <w:rsid w:val="05587671"/>
    <w:rsid w:val="05E67E7B"/>
    <w:rsid w:val="06994D49"/>
    <w:rsid w:val="06BE53A2"/>
    <w:rsid w:val="06D92E6C"/>
    <w:rsid w:val="071C7CDE"/>
    <w:rsid w:val="07517710"/>
    <w:rsid w:val="077449A4"/>
    <w:rsid w:val="07D161E8"/>
    <w:rsid w:val="081E72E6"/>
    <w:rsid w:val="08356875"/>
    <w:rsid w:val="087D093C"/>
    <w:rsid w:val="08C85F89"/>
    <w:rsid w:val="09CC2D15"/>
    <w:rsid w:val="09E85F41"/>
    <w:rsid w:val="0A5C592B"/>
    <w:rsid w:val="0AC25CD1"/>
    <w:rsid w:val="0C465F80"/>
    <w:rsid w:val="0C625EB1"/>
    <w:rsid w:val="0CD93F68"/>
    <w:rsid w:val="0DBF1DB4"/>
    <w:rsid w:val="0EDA356D"/>
    <w:rsid w:val="102535D5"/>
    <w:rsid w:val="102E3AF5"/>
    <w:rsid w:val="106540F4"/>
    <w:rsid w:val="112C6C47"/>
    <w:rsid w:val="11651FD6"/>
    <w:rsid w:val="127A2698"/>
    <w:rsid w:val="13436245"/>
    <w:rsid w:val="135967EE"/>
    <w:rsid w:val="135A6859"/>
    <w:rsid w:val="13A47017"/>
    <w:rsid w:val="13E10C79"/>
    <w:rsid w:val="147D4CBA"/>
    <w:rsid w:val="15102D5C"/>
    <w:rsid w:val="15660DC4"/>
    <w:rsid w:val="158C3568"/>
    <w:rsid w:val="16425155"/>
    <w:rsid w:val="17495E07"/>
    <w:rsid w:val="177F08C3"/>
    <w:rsid w:val="181B66A5"/>
    <w:rsid w:val="18402764"/>
    <w:rsid w:val="18891287"/>
    <w:rsid w:val="188A239A"/>
    <w:rsid w:val="18927096"/>
    <w:rsid w:val="191723A5"/>
    <w:rsid w:val="1922186E"/>
    <w:rsid w:val="1949266B"/>
    <w:rsid w:val="197C0697"/>
    <w:rsid w:val="19B13C3B"/>
    <w:rsid w:val="1ABC18C9"/>
    <w:rsid w:val="1BF370BB"/>
    <w:rsid w:val="1D005F50"/>
    <w:rsid w:val="1D430957"/>
    <w:rsid w:val="1E3E6351"/>
    <w:rsid w:val="1E5012C5"/>
    <w:rsid w:val="1EF009BC"/>
    <w:rsid w:val="1EF021D8"/>
    <w:rsid w:val="1F69322A"/>
    <w:rsid w:val="1F745A03"/>
    <w:rsid w:val="20003CF9"/>
    <w:rsid w:val="20053921"/>
    <w:rsid w:val="20772A81"/>
    <w:rsid w:val="21936002"/>
    <w:rsid w:val="2257624A"/>
    <w:rsid w:val="22CC74FA"/>
    <w:rsid w:val="237F64BA"/>
    <w:rsid w:val="24213423"/>
    <w:rsid w:val="24BC1DE3"/>
    <w:rsid w:val="24D05A0D"/>
    <w:rsid w:val="24DC628E"/>
    <w:rsid w:val="24E75B86"/>
    <w:rsid w:val="250A751A"/>
    <w:rsid w:val="252B3A02"/>
    <w:rsid w:val="25C418A3"/>
    <w:rsid w:val="25C82BD1"/>
    <w:rsid w:val="263B10EB"/>
    <w:rsid w:val="26583F4D"/>
    <w:rsid w:val="269C5B1F"/>
    <w:rsid w:val="28522A88"/>
    <w:rsid w:val="28E60BB9"/>
    <w:rsid w:val="28E72633"/>
    <w:rsid w:val="2A0931EA"/>
    <w:rsid w:val="2A505761"/>
    <w:rsid w:val="2AB066DF"/>
    <w:rsid w:val="2B33475A"/>
    <w:rsid w:val="2BA17B49"/>
    <w:rsid w:val="2BA963A3"/>
    <w:rsid w:val="2BD04639"/>
    <w:rsid w:val="2BD46160"/>
    <w:rsid w:val="2BF06DFE"/>
    <w:rsid w:val="2C300C99"/>
    <w:rsid w:val="2CA42F9E"/>
    <w:rsid w:val="2D02474B"/>
    <w:rsid w:val="2D3C366E"/>
    <w:rsid w:val="2D4B3052"/>
    <w:rsid w:val="2F305A48"/>
    <w:rsid w:val="2F5A037B"/>
    <w:rsid w:val="2F68760A"/>
    <w:rsid w:val="30204F53"/>
    <w:rsid w:val="30515A53"/>
    <w:rsid w:val="31096468"/>
    <w:rsid w:val="3142403E"/>
    <w:rsid w:val="31A4311A"/>
    <w:rsid w:val="320210B7"/>
    <w:rsid w:val="320C44AD"/>
    <w:rsid w:val="324E7F26"/>
    <w:rsid w:val="329A43D6"/>
    <w:rsid w:val="32D20A1C"/>
    <w:rsid w:val="33136C1F"/>
    <w:rsid w:val="33434368"/>
    <w:rsid w:val="34114A6C"/>
    <w:rsid w:val="347618CD"/>
    <w:rsid w:val="34FA1038"/>
    <w:rsid w:val="370E607B"/>
    <w:rsid w:val="37160BC3"/>
    <w:rsid w:val="374600E0"/>
    <w:rsid w:val="380A6280"/>
    <w:rsid w:val="38B7101B"/>
    <w:rsid w:val="397D69EB"/>
    <w:rsid w:val="39981C2C"/>
    <w:rsid w:val="39FB783A"/>
    <w:rsid w:val="39FF58F9"/>
    <w:rsid w:val="3A45504E"/>
    <w:rsid w:val="3AA55A93"/>
    <w:rsid w:val="3B1C79F9"/>
    <w:rsid w:val="3BAB57CE"/>
    <w:rsid w:val="3CE7197B"/>
    <w:rsid w:val="3D737DE3"/>
    <w:rsid w:val="3D867867"/>
    <w:rsid w:val="3E743E00"/>
    <w:rsid w:val="3F7D3104"/>
    <w:rsid w:val="403C6EA2"/>
    <w:rsid w:val="40BA7F3E"/>
    <w:rsid w:val="41503302"/>
    <w:rsid w:val="41D47A41"/>
    <w:rsid w:val="428A0D5C"/>
    <w:rsid w:val="42BF193F"/>
    <w:rsid w:val="43E76585"/>
    <w:rsid w:val="43FB6291"/>
    <w:rsid w:val="44347E8C"/>
    <w:rsid w:val="444C7494"/>
    <w:rsid w:val="447328A5"/>
    <w:rsid w:val="461B5C09"/>
    <w:rsid w:val="46202A9A"/>
    <w:rsid w:val="472748D4"/>
    <w:rsid w:val="478A19D7"/>
    <w:rsid w:val="47AA1A12"/>
    <w:rsid w:val="47E1681D"/>
    <w:rsid w:val="48C5735F"/>
    <w:rsid w:val="49590E05"/>
    <w:rsid w:val="49F8393D"/>
    <w:rsid w:val="4A5144F5"/>
    <w:rsid w:val="4B151C3D"/>
    <w:rsid w:val="4B583F69"/>
    <w:rsid w:val="4B894BA7"/>
    <w:rsid w:val="4BDF5BF6"/>
    <w:rsid w:val="4C7041B2"/>
    <w:rsid w:val="4CDF429D"/>
    <w:rsid w:val="4CE51220"/>
    <w:rsid w:val="4D1923F1"/>
    <w:rsid w:val="4DA91E20"/>
    <w:rsid w:val="4E021741"/>
    <w:rsid w:val="4E3A5973"/>
    <w:rsid w:val="4E9C643C"/>
    <w:rsid w:val="4F465F59"/>
    <w:rsid w:val="4F47227D"/>
    <w:rsid w:val="4F610FE6"/>
    <w:rsid w:val="4F910B36"/>
    <w:rsid w:val="4FBE421A"/>
    <w:rsid w:val="50174858"/>
    <w:rsid w:val="50595530"/>
    <w:rsid w:val="508B07E9"/>
    <w:rsid w:val="516D02FB"/>
    <w:rsid w:val="51FC3AE1"/>
    <w:rsid w:val="5288688A"/>
    <w:rsid w:val="52CF1ACA"/>
    <w:rsid w:val="537626D3"/>
    <w:rsid w:val="53AB241B"/>
    <w:rsid w:val="541F2FD6"/>
    <w:rsid w:val="54821517"/>
    <w:rsid w:val="548F21C6"/>
    <w:rsid w:val="55B101A6"/>
    <w:rsid w:val="55E867B9"/>
    <w:rsid w:val="562A0811"/>
    <w:rsid w:val="563F667B"/>
    <w:rsid w:val="56865913"/>
    <w:rsid w:val="582C7497"/>
    <w:rsid w:val="58314293"/>
    <w:rsid w:val="58881DE3"/>
    <w:rsid w:val="588873DB"/>
    <w:rsid w:val="58F52D3F"/>
    <w:rsid w:val="5A282CAF"/>
    <w:rsid w:val="5A4742CF"/>
    <w:rsid w:val="5AF23F13"/>
    <w:rsid w:val="5CE06D44"/>
    <w:rsid w:val="5D7A7717"/>
    <w:rsid w:val="5E7B18C1"/>
    <w:rsid w:val="5E8B7C7A"/>
    <w:rsid w:val="5F8F1903"/>
    <w:rsid w:val="5FB34663"/>
    <w:rsid w:val="5FFF1403"/>
    <w:rsid w:val="60BC78FF"/>
    <w:rsid w:val="60FD27E4"/>
    <w:rsid w:val="614F51AC"/>
    <w:rsid w:val="616129FF"/>
    <w:rsid w:val="61CD1D8C"/>
    <w:rsid w:val="61EB590E"/>
    <w:rsid w:val="61EC18AB"/>
    <w:rsid w:val="62494B3D"/>
    <w:rsid w:val="62FC465D"/>
    <w:rsid w:val="63125967"/>
    <w:rsid w:val="643D2F22"/>
    <w:rsid w:val="644B26D7"/>
    <w:rsid w:val="659C5058"/>
    <w:rsid w:val="661131A1"/>
    <w:rsid w:val="675F6B64"/>
    <w:rsid w:val="678376F2"/>
    <w:rsid w:val="679108C6"/>
    <w:rsid w:val="67E16AD1"/>
    <w:rsid w:val="685D6551"/>
    <w:rsid w:val="687A05CB"/>
    <w:rsid w:val="69333DCC"/>
    <w:rsid w:val="69444697"/>
    <w:rsid w:val="698B4E1E"/>
    <w:rsid w:val="6A6B3CDB"/>
    <w:rsid w:val="6AB4235F"/>
    <w:rsid w:val="6AD53459"/>
    <w:rsid w:val="6CC909CC"/>
    <w:rsid w:val="6CD8531E"/>
    <w:rsid w:val="6D2852B3"/>
    <w:rsid w:val="6E733D73"/>
    <w:rsid w:val="6F373594"/>
    <w:rsid w:val="6FE37CD3"/>
    <w:rsid w:val="6FE93DB2"/>
    <w:rsid w:val="6FFA3D1B"/>
    <w:rsid w:val="7081374F"/>
    <w:rsid w:val="708F2C6E"/>
    <w:rsid w:val="714154F1"/>
    <w:rsid w:val="717C7FDD"/>
    <w:rsid w:val="717D4E1B"/>
    <w:rsid w:val="71830314"/>
    <w:rsid w:val="723669FF"/>
    <w:rsid w:val="729707D2"/>
    <w:rsid w:val="72A24B1C"/>
    <w:rsid w:val="73643309"/>
    <w:rsid w:val="73A86517"/>
    <w:rsid w:val="746802E3"/>
    <w:rsid w:val="74C07AF7"/>
    <w:rsid w:val="766C2C40"/>
    <w:rsid w:val="77804625"/>
    <w:rsid w:val="77AF101E"/>
    <w:rsid w:val="77B773C0"/>
    <w:rsid w:val="783338BC"/>
    <w:rsid w:val="78D632F8"/>
    <w:rsid w:val="79923C47"/>
    <w:rsid w:val="7A7C5298"/>
    <w:rsid w:val="7ABC22A3"/>
    <w:rsid w:val="7AF722E3"/>
    <w:rsid w:val="7AF82978"/>
    <w:rsid w:val="7B0E3B6A"/>
    <w:rsid w:val="7B5178B1"/>
    <w:rsid w:val="7BD50379"/>
    <w:rsid w:val="7D1D0C3D"/>
    <w:rsid w:val="7D442589"/>
    <w:rsid w:val="7DF91EFD"/>
    <w:rsid w:val="7E312C46"/>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3</TotalTime>
  <ScaleCrop>false</ScaleCrop>
  <LinksUpToDate>false</LinksUpToDate>
  <CharactersWithSpaces>2594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舟</cp:lastModifiedBy>
  <cp:lastPrinted>2019-11-26T02:04:00Z</cp:lastPrinted>
  <dcterms:modified xsi:type="dcterms:W3CDTF">2023-08-04T01:07:28Z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9F686902EB804A24A3222B59F367A8FF_13</vt:lpwstr>
  </property>
</Properties>
</file>