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海南交控公路工程养护有限公司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2021年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废弃护栏等材料处置项目（二次比选）</w:t>
      </w: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84"/>
          <w:szCs w:val="84"/>
          <w14:textFill>
            <w14:solidFill>
              <w14:schemeClr w14:val="tx1"/>
            </w14:solidFill>
          </w14:textFill>
        </w:rPr>
        <w:t>文件</w:t>
      </w: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200" w:line="220" w:lineRule="atLeast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人：海南交控公路工程养护有限公司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须知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目前，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海南交控公路工程养护有限公司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管理站存放一批废弃护栏等材料，主要有护拦板2010块，立柱703根，估算总重量约138.5吨（数量及重量为暂估，具体以实际称重为准）为提高此批废弃护栏等材料的回收利用率，计划选定一家处置单位对其进行处置。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一、适用范围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本采购比选文件适用于采购中所述货物及相关服务的比选。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二、商务要求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投标人应遵守国家的有关法律、法规。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本项目将对此批废弃护栏等材料的处置进行比选，并对申请人提交的比选申请文件进行评审，最终确定一家符合要求的处置单位对其进行处置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四、申请人资格要求</w:t>
      </w:r>
    </w:p>
    <w:p>
      <w:pPr>
        <w:pStyle w:val="11"/>
        <w:widowControl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（一）在中华人民共和国境内注册，具有独立法人资格，具备完全民事行为能力、能够独立承担民事责任，具有固定经营场所。</w:t>
      </w:r>
    </w:p>
    <w:p>
      <w:pPr>
        <w:pStyle w:val="11"/>
        <w:widowControl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（二）具有合格、有效的营业执照。</w:t>
      </w:r>
    </w:p>
    <w:p>
      <w:pPr>
        <w:pStyle w:val="11"/>
        <w:widowControl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(三）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“具备2019年1月以来有1个及以上回收处置废弃材料的经验和业绩（如有，则须提供项目合同）”</w:t>
      </w:r>
    </w:p>
    <w:p>
      <w:pPr>
        <w:pStyle w:val="11"/>
        <w:widowControl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（四）与比选人存在利害关系可能影响比选公正性的单位，不得参加比选；单位负责人为同一人或者存在控股、管理关系的不同单位，不得参加同一标段比选，否则，相关申请均无效。</w:t>
      </w:r>
    </w:p>
    <w:p>
      <w:pPr>
        <w:pStyle w:val="11"/>
        <w:widowControl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（五）在“信用中国”网站（http://www.creditchina.gov.cn/）中被列入失信被执行人名单的单位，不得参加比选。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（六）本次比选活动不允许两个及以上的申请人组成联合体参加。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控制价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本项目控制价为 </w:t>
      </w:r>
      <w:r>
        <w:rPr>
          <w:rFonts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360100.00</w:t>
      </w:r>
      <w:r>
        <w:rPr>
          <w:rFonts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元人民币（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bCs/>
          <w:sz w:val="28"/>
          <w:szCs w:val="28"/>
        </w:rPr>
        <w:t>控制价则视为无效报价）。</w:t>
      </w:r>
    </w:p>
    <w:p>
      <w:pPr>
        <w:spacing w:line="560" w:lineRule="exact"/>
        <w:ind w:firstLine="562" w:firstLineChars="200"/>
        <w:jc w:val="left"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项目服务期限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为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天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（自合同签订之日起算）。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处置地点：定安、琼海、万宁、陵水、三亚、崖城、乐东、琼中、坡心、永兴管理站。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七、评审办法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人自行组织，采用经评审的最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价法确定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人将组建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评审小组，对在规定时间内送达的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比选申请文件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进行审查，若均符合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文件相关要求则视为有效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比选申请文件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，再按报价由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的顺序推荐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，若出现报价相等的，则由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人自行确定。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人已提供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清单，请申请人根据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清单提供完整、有效的报价函（要求详见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2021年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废弃护栏等材料处置</w:t>
      </w:r>
      <w:r>
        <w:rPr>
          <w:rFonts w:hint="eastAsia" w:ascii="仿宋" w:hAnsi="仿宋" w:eastAsia="仿宋" w:cs="仿宋"/>
          <w:kern w:val="0"/>
          <w:sz w:val="28"/>
          <w:szCs w:val="28"/>
        </w:rPr>
        <w:t>清单</w:t>
      </w:r>
    </w:p>
    <w:p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2021年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废弃护栏等材料处置</w:t>
      </w:r>
      <w:r>
        <w:rPr>
          <w:rFonts w:hint="eastAsia" w:ascii="仿宋" w:hAnsi="仿宋" w:eastAsia="仿宋" w:cs="仿宋"/>
          <w:kern w:val="0"/>
          <w:sz w:val="28"/>
          <w:szCs w:val="28"/>
        </w:rPr>
        <w:t>清单</w:t>
      </w:r>
    </w:p>
    <w:tbl>
      <w:tblPr>
        <w:tblStyle w:val="1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936"/>
        <w:gridCol w:w="1899"/>
        <w:gridCol w:w="1857"/>
        <w:gridCol w:w="984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管理站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损坏护拦板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（块）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损坏立柱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（根）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估算重量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630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万宁旅游公路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崖城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2010</w:t>
            </w:r>
          </w:p>
        </w:tc>
        <w:tc>
          <w:tcPr>
            <w:tcW w:w="1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注：种类、数量及重量为暂估量，具体以实际称重重量为准。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比选申请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文件要求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（一）报价函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（二）法定代表人身份证明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u w:val="single"/>
          <w:lang w:val="en-US" w:eastAsia="zh-CN"/>
        </w:rPr>
        <w:t>法定代表人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（若为法定代表人亲自办理，则仅须提供法定代表人身份证明；若授权委托他人办理，则须提供法定代表人身份证明和法定代表人授权委托书）。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（三）合格、有效的营业执照（复印件加盖单位章）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具备2019年1月以来有1个及以上回收处置废弃材料的经验和业绩（如有，则须提供项目合同）”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申请人关联企业情况（加盖单位章）。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良好的商业信誉（提供近3年内在经营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活动中没有重大违法记录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的承诺函一份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提供在“信用中国”网站（http://www.creditchina.gov.cn/）中未被列入失信被执行人名单的查询截图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比选申请文件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一式贰份，加盖单位章及骑缝章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用牛皮纸密封在一个封袋中，封口加盖单位章及骑缝章。）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截止时间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申请人必须于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分前将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比选申请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文件送至：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海南省海口市琼山区滨江路首丹商业大厦1单元4层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张先生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17689756777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，逾期送达者按弃权处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比选申请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文件格式</w:t>
      </w: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黑体" w:hAnsi="宋体" w:eastAsia="黑体" w:cs="黑体"/>
          <w:b/>
          <w:bCs w:val="0"/>
          <w:color w:val="000000"/>
          <w:kern w:val="0"/>
          <w:sz w:val="44"/>
          <w:szCs w:val="44"/>
          <w:shd w:val="clear" w:fill="FFFFFF"/>
          <w:lang w:bidi="ar"/>
        </w:rPr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44"/>
          <w:szCs w:val="44"/>
          <w:shd w:val="clear" w:fill="FFFFFF"/>
          <w:lang w:bidi="ar"/>
        </w:rPr>
        <w:t>海南交控公路工程养护有限公司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2021年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废弃护栏等材料处置项目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（二次比选）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比选申请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84"/>
          <w:szCs w:val="84"/>
          <w14:textFill>
            <w14:solidFill>
              <w14:schemeClr w14:val="tx1"/>
            </w14:solidFill>
          </w14:textFill>
        </w:rPr>
        <w:t>文件</w:t>
      </w: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（封面）</w:t>
      </w: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400" w:hanging="1400" w:hangingChars="5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400" w:hanging="1400" w:hangingChars="5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申请人名称（盖章） ：     </w:t>
      </w:r>
    </w:p>
    <w:p>
      <w:pPr>
        <w:spacing w:line="560" w:lineRule="exact"/>
        <w:ind w:firstLine="138" w:firstLineChars="49"/>
        <w:jc w:val="left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法定代表人或其委托代理人（签名或盖章）：   </w:t>
      </w:r>
    </w:p>
    <w:p>
      <w:pPr>
        <w:spacing w:line="560" w:lineRule="exact"/>
        <w:ind w:firstLine="138" w:firstLineChars="49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地址：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 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>年  月  日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报价函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（二）法定代表人身份证明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u w:val="single"/>
          <w:lang w:val="en-US" w:eastAsia="zh-CN"/>
        </w:rPr>
        <w:t>法定代表人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（若为法定代表人亲自办理，则仅须提供法定代表人身份证明；若授权委托他人办理，则须提供法定代表人身份证明和法定代表人授权委托书）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（三）合格、有效的营业执照（复印件加盖单位章）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具备2019年1月以来有1个及以上回收处置废弃材料的经验和业绩（如有，则须提供项目合同）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申请人关联企业情况（加盖单位章）</w:t>
      </w:r>
    </w:p>
    <w:p>
      <w:pPr>
        <w:widowControl/>
        <w:spacing w:line="560" w:lineRule="exact"/>
        <w:ind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（六）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良好的商业信誉（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提供近3年内在经营活动中没有重大违法记录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的承诺函一份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提供在“信用中国”网站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（http://www.creditchina.gov.cn/）中未被列入失信被执行人名单的查询截图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）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39"/>
          <w:sz w:val="32"/>
          <w:szCs w:val="32"/>
          <w:lang w:val="en-US" w:eastAsia="zh-CN"/>
        </w:rPr>
        <w:t>报价函</w:t>
      </w:r>
    </w:p>
    <w:p>
      <w:pPr>
        <w:pStyle w:val="6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line="560" w:lineRule="exact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海南交控公路工程养护有限公司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：</w:t>
      </w:r>
    </w:p>
    <w:p>
      <w:pPr>
        <w:pStyle w:val="6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我方已仔细研究了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2021年废弃护栏板等材料处置项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2"/>
          <w:sz w:val="28"/>
          <w:szCs w:val="28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2021年废弃护栏等材料处置项目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2"/>
          <w:sz w:val="28"/>
          <w:szCs w:val="28"/>
          <w:highlight w:val="none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（二次比选）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比选文件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的全部内容，愿意以人民币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元为处置单价，总价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（大写金额为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的报价作为我方承担该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项目全过程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的总金额，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该项目服务期限为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日历天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如我方中选，我方将承诺在中选后规定的期限内与你方签订合同，并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履行合同约定的责任和义务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在合同约定的期限内提供回收服务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我方在此声明，所递交的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文件及有关资料内容完整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真实和准确。</w:t>
      </w:r>
    </w:p>
    <w:p>
      <w:pPr>
        <w:pStyle w:val="6"/>
        <w:spacing w:line="56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附件：报价明细表</w:t>
      </w:r>
    </w:p>
    <w:p>
      <w:pPr>
        <w:pStyle w:val="6"/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（其他说明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请自行补充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</w:p>
    <w:p>
      <w:pPr>
        <w:pStyle w:val="6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napToGrid w:val="0"/>
        <w:spacing w:line="560" w:lineRule="exact"/>
        <w:rPr>
          <w:rFonts w:ascii="仿宋" w:hAnsi="仿宋" w:eastAsia="仿宋" w:cs="仿宋"/>
          <w:spacing w:val="8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申请人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28"/>
          <w:szCs w:val="28"/>
          <w:u w:val="none"/>
        </w:rPr>
        <w:t xml:space="preserve">：                                  </w:t>
      </w:r>
    </w:p>
    <w:p>
      <w:pPr>
        <w:spacing w:line="560" w:lineRule="exact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法定代表人或其委托代理人（</w:t>
      </w:r>
      <w:r>
        <w:rPr>
          <w:rFonts w:hint="eastAsia" w:ascii="仿宋" w:hAnsi="仿宋" w:eastAsia="仿宋" w:cs="仿宋"/>
          <w:sz w:val="28"/>
          <w:szCs w:val="28"/>
        </w:rPr>
        <w:t>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名或盖章</w:t>
      </w:r>
      <w:r>
        <w:rPr>
          <w:rFonts w:hint="eastAsia" w:ascii="仿宋" w:hAnsi="仿宋" w:eastAsia="仿宋" w:cs="仿宋"/>
          <w:spacing w:val="8"/>
          <w:sz w:val="28"/>
          <w:szCs w:val="28"/>
        </w:rPr>
        <w:t>）：</w:t>
      </w:r>
    </w:p>
    <w:p>
      <w:pPr>
        <w:spacing w:line="560" w:lineRule="exact"/>
        <w:rPr>
          <w:rFonts w:ascii="仿宋" w:hAnsi="仿宋" w:eastAsia="仿宋" w:cs="仿宋"/>
          <w:spacing w:val="8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地址：</w:t>
      </w:r>
    </w:p>
    <w:p>
      <w:pPr>
        <w:autoSpaceDE w:val="0"/>
        <w:autoSpaceDN w:val="0"/>
        <w:snapToGrid w:val="0"/>
        <w:spacing w:line="560" w:lineRule="exact"/>
        <w:rPr>
          <w:rFonts w:ascii="仿宋" w:hAnsi="仿宋" w:eastAsia="仿宋" w:cs="仿宋"/>
          <w:spacing w:val="8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电话：</w:t>
      </w:r>
    </w:p>
    <w:p>
      <w:pPr>
        <w:spacing w:line="560" w:lineRule="exact"/>
        <w:jc w:val="left"/>
        <w:rPr>
          <w:rFonts w:hint="eastAsia" w:ascii="仿宋" w:hAnsi="仿宋" w:eastAsia="仿宋" w:cs="仿宋"/>
          <w:spacing w:val="8"/>
          <w:sz w:val="28"/>
          <w:szCs w:val="28"/>
          <w:u w:val="none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日期：</w:t>
      </w:r>
      <w:r>
        <w:rPr>
          <w:rFonts w:hint="eastAsia" w:ascii="仿宋" w:hAnsi="仿宋" w:eastAsia="仿宋" w:cs="仿宋"/>
          <w:spacing w:val="8"/>
          <w:sz w:val="28"/>
          <w:szCs w:val="28"/>
          <w:u w:val="none"/>
        </w:rPr>
        <w:t xml:space="preserve">   年    月    日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945"/>
        <w:gridCol w:w="788"/>
        <w:gridCol w:w="907"/>
        <w:gridCol w:w="841"/>
        <w:gridCol w:w="1267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  <w:t>废铁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  <w:t>吨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18"/>
                <w:lang w:val="en-US" w:eastAsia="zh-CN"/>
              </w:rPr>
              <w:t>138.5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8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注：1.“处置单价”为全费用单价，含运费、税费等；</w:t>
      </w:r>
    </w:p>
    <w:p>
      <w:pPr>
        <w:widowControl/>
        <w:jc w:val="left"/>
        <w:rPr>
          <w:rFonts w:hint="default" w:ascii="仿宋" w:hAnsi="仿宋" w:eastAsia="仿宋" w:cs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2.种类、数量及重量等为暂估，具体以实际称重时为准。</w:t>
      </w:r>
    </w:p>
    <w:p>
      <w:pPr>
        <w:widowControl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法定代表人身份证明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 请 人：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单位性质：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    址：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成立时间：    年   月   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经营期限：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姓    名：                性    别：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    龄：                职    务：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（申请人名称）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的法定代表人。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特此证明。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附：法定代表人身份证复印件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申请人（盖章）：</w:t>
      </w:r>
    </w:p>
    <w:p>
      <w:pPr>
        <w:ind w:firstLine="4480" w:firstLineChars="16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  期：     年    月    日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（申请人名称）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2021年废弃护栏板等材料处置项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（二次比选）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文件，并签订合同和处理有关事宜，其法律后果由我方承担。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附：1.法定代表人身份证复印件</w:t>
      </w:r>
    </w:p>
    <w:p>
      <w:pPr>
        <w:widowControl/>
        <w:spacing w:line="560" w:lineRule="exact"/>
        <w:ind w:firstLine="980" w:firstLineChars="3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2.委托代理人身份证复印件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申请人（盖章）：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法定代表人（签名或盖章）：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委托代理人（签名或盖章）：</w:t>
      </w:r>
    </w:p>
    <w:p>
      <w:pPr>
        <w:widowControl/>
        <w:spacing w:line="560" w:lineRule="exact"/>
        <w:ind w:firstLine="420" w:firstLineChars="1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日期：    年    月    日</w:t>
      </w: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申请人关联企业情况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申请人应提供关联企业情况，包括：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申请人的所有股东名称及相应股权（出资额）比例。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申请人投资（控股）或管理的下属企业名称、持有股权（出资额）比例。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与申请人单位负责人（即法定代表人）为同一人的其他单位名称。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以上资料均需加盖单位章。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承诺函</w:t>
      </w:r>
    </w:p>
    <w:p>
      <w:pPr>
        <w:widowControl/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海南交控公路工程养护有限公司：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本公司承诺：本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公司自递交比选申请文件之日止</w:t>
      </w:r>
      <w:r>
        <w:rPr>
          <w:rFonts w:hint="eastAsia" w:ascii="仿宋" w:hAnsi="仿宋" w:eastAsia="仿宋" w:cs="仿宋"/>
          <w:kern w:val="0"/>
          <w:sz w:val="28"/>
          <w:szCs w:val="28"/>
        </w:rPr>
        <w:t>近三年内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</w:rPr>
        <w:t>经营活动中未有任何违法行为记录。</w:t>
      </w:r>
    </w:p>
    <w:p>
      <w:pPr>
        <w:widowControl/>
        <w:spacing w:line="560" w:lineRule="exact"/>
        <w:ind w:firstLine="480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4080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1680" w:firstLineChars="6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申请人</w:t>
      </w: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 w:cs="仿宋"/>
          <w:bCs/>
          <w:sz w:val="28"/>
          <w:szCs w:val="28"/>
        </w:rPr>
        <w:t>章）：</w:t>
      </w:r>
    </w:p>
    <w:p>
      <w:pPr>
        <w:widowControl/>
        <w:spacing w:line="560" w:lineRule="exact"/>
        <w:ind w:firstLine="1680" w:firstLineChars="6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其委托代理人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名或盖章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widowControl/>
        <w:spacing w:line="560" w:lineRule="exact"/>
        <w:ind w:firstLine="420" w:firstLineChars="150"/>
        <w:jc w:val="left"/>
        <w:rPr>
          <w:rFonts w:hint="eastAsia" w:ascii="仿宋" w:hAnsi="仿宋" w:eastAsia="仿宋" w:cs="仿宋"/>
          <w:spacing w:val="8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年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日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pacing w:val="8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ind w:firstLine="444" w:firstLineChars="150"/>
        <w:jc w:val="left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AEB1C"/>
    <w:multiLevelType w:val="singleLevel"/>
    <w:tmpl w:val="DA3AE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AD"/>
    <w:rsid w:val="00037C9B"/>
    <w:rsid w:val="00087AE4"/>
    <w:rsid w:val="000A4E90"/>
    <w:rsid w:val="000E61F5"/>
    <w:rsid w:val="00104682"/>
    <w:rsid w:val="00110DC1"/>
    <w:rsid w:val="001117D7"/>
    <w:rsid w:val="00142BBD"/>
    <w:rsid w:val="001723CB"/>
    <w:rsid w:val="001855FE"/>
    <w:rsid w:val="00187E92"/>
    <w:rsid w:val="00192BCF"/>
    <w:rsid w:val="001A19AC"/>
    <w:rsid w:val="001B0992"/>
    <w:rsid w:val="001C112B"/>
    <w:rsid w:val="001F166C"/>
    <w:rsid w:val="002078A7"/>
    <w:rsid w:val="00225843"/>
    <w:rsid w:val="002314E4"/>
    <w:rsid w:val="002837CC"/>
    <w:rsid w:val="002A35F9"/>
    <w:rsid w:val="002B23DA"/>
    <w:rsid w:val="002B4C1E"/>
    <w:rsid w:val="002D331B"/>
    <w:rsid w:val="002D5668"/>
    <w:rsid w:val="002E22F3"/>
    <w:rsid w:val="002E2690"/>
    <w:rsid w:val="002E2698"/>
    <w:rsid w:val="00304940"/>
    <w:rsid w:val="003115CD"/>
    <w:rsid w:val="00313224"/>
    <w:rsid w:val="003144E5"/>
    <w:rsid w:val="00324054"/>
    <w:rsid w:val="00367712"/>
    <w:rsid w:val="003B0EB5"/>
    <w:rsid w:val="003C0DAD"/>
    <w:rsid w:val="003C43F2"/>
    <w:rsid w:val="003C78DF"/>
    <w:rsid w:val="00425500"/>
    <w:rsid w:val="00466B61"/>
    <w:rsid w:val="004670CF"/>
    <w:rsid w:val="00490D0F"/>
    <w:rsid w:val="004A4C8D"/>
    <w:rsid w:val="004F5D9C"/>
    <w:rsid w:val="00516D79"/>
    <w:rsid w:val="00520DAF"/>
    <w:rsid w:val="00521E84"/>
    <w:rsid w:val="00566710"/>
    <w:rsid w:val="00567DA4"/>
    <w:rsid w:val="005D196F"/>
    <w:rsid w:val="006103CB"/>
    <w:rsid w:val="00617A91"/>
    <w:rsid w:val="006232C3"/>
    <w:rsid w:val="00626513"/>
    <w:rsid w:val="00661C4F"/>
    <w:rsid w:val="00663F89"/>
    <w:rsid w:val="00682105"/>
    <w:rsid w:val="006B1A92"/>
    <w:rsid w:val="006B3B80"/>
    <w:rsid w:val="00717E4E"/>
    <w:rsid w:val="00755B12"/>
    <w:rsid w:val="00794D1D"/>
    <w:rsid w:val="007A31C0"/>
    <w:rsid w:val="007B2B65"/>
    <w:rsid w:val="007B687C"/>
    <w:rsid w:val="007C606F"/>
    <w:rsid w:val="007E76B6"/>
    <w:rsid w:val="00810880"/>
    <w:rsid w:val="0084330B"/>
    <w:rsid w:val="00852FF4"/>
    <w:rsid w:val="00894496"/>
    <w:rsid w:val="008B5A5D"/>
    <w:rsid w:val="008E0D45"/>
    <w:rsid w:val="009462E6"/>
    <w:rsid w:val="0097281E"/>
    <w:rsid w:val="009760B7"/>
    <w:rsid w:val="009811A7"/>
    <w:rsid w:val="009A40CA"/>
    <w:rsid w:val="009F2C1E"/>
    <w:rsid w:val="00A17C48"/>
    <w:rsid w:val="00A57194"/>
    <w:rsid w:val="00A77C4D"/>
    <w:rsid w:val="00AB6140"/>
    <w:rsid w:val="00B2061E"/>
    <w:rsid w:val="00B43987"/>
    <w:rsid w:val="00B96B8C"/>
    <w:rsid w:val="00BA02B3"/>
    <w:rsid w:val="00BA2931"/>
    <w:rsid w:val="00BB4A8C"/>
    <w:rsid w:val="00BD27D6"/>
    <w:rsid w:val="00BF0A98"/>
    <w:rsid w:val="00C229CC"/>
    <w:rsid w:val="00CB53D3"/>
    <w:rsid w:val="00CD186A"/>
    <w:rsid w:val="00CE25D6"/>
    <w:rsid w:val="00D20775"/>
    <w:rsid w:val="00D3261F"/>
    <w:rsid w:val="00D3580F"/>
    <w:rsid w:val="00D4633F"/>
    <w:rsid w:val="00D5044E"/>
    <w:rsid w:val="00D50483"/>
    <w:rsid w:val="00D77713"/>
    <w:rsid w:val="00D83448"/>
    <w:rsid w:val="00D87751"/>
    <w:rsid w:val="00D961F9"/>
    <w:rsid w:val="00DA1AB5"/>
    <w:rsid w:val="00DB285D"/>
    <w:rsid w:val="00DE75D8"/>
    <w:rsid w:val="00E035F1"/>
    <w:rsid w:val="00E51C26"/>
    <w:rsid w:val="00EE5A31"/>
    <w:rsid w:val="00EF5632"/>
    <w:rsid w:val="00F208EC"/>
    <w:rsid w:val="00F21315"/>
    <w:rsid w:val="00F31B14"/>
    <w:rsid w:val="00F33B78"/>
    <w:rsid w:val="00F47C8B"/>
    <w:rsid w:val="00F70EA2"/>
    <w:rsid w:val="00F9643A"/>
    <w:rsid w:val="00FA64D2"/>
    <w:rsid w:val="00FE6886"/>
    <w:rsid w:val="00FF2B09"/>
    <w:rsid w:val="01397E5C"/>
    <w:rsid w:val="01E15867"/>
    <w:rsid w:val="020D2536"/>
    <w:rsid w:val="02265B90"/>
    <w:rsid w:val="028022C9"/>
    <w:rsid w:val="028A2C93"/>
    <w:rsid w:val="03172926"/>
    <w:rsid w:val="03A825F0"/>
    <w:rsid w:val="042A3963"/>
    <w:rsid w:val="05E67E7B"/>
    <w:rsid w:val="06994D49"/>
    <w:rsid w:val="06CE203E"/>
    <w:rsid w:val="078A1333"/>
    <w:rsid w:val="081E72E6"/>
    <w:rsid w:val="08356875"/>
    <w:rsid w:val="08D04616"/>
    <w:rsid w:val="09CC2D15"/>
    <w:rsid w:val="0A5D090A"/>
    <w:rsid w:val="0AC048F9"/>
    <w:rsid w:val="0C465F80"/>
    <w:rsid w:val="0C625EB1"/>
    <w:rsid w:val="0C772EED"/>
    <w:rsid w:val="0D942C3E"/>
    <w:rsid w:val="0E623B87"/>
    <w:rsid w:val="0EBF443D"/>
    <w:rsid w:val="0FFE6236"/>
    <w:rsid w:val="101E2719"/>
    <w:rsid w:val="12FA23AE"/>
    <w:rsid w:val="135A6859"/>
    <w:rsid w:val="13E10C79"/>
    <w:rsid w:val="147D4CBA"/>
    <w:rsid w:val="15102D5C"/>
    <w:rsid w:val="152F1257"/>
    <w:rsid w:val="15F37216"/>
    <w:rsid w:val="17495E07"/>
    <w:rsid w:val="17697780"/>
    <w:rsid w:val="177F08C3"/>
    <w:rsid w:val="17DA5AD4"/>
    <w:rsid w:val="191723A5"/>
    <w:rsid w:val="19447AC8"/>
    <w:rsid w:val="1949266B"/>
    <w:rsid w:val="19A817C0"/>
    <w:rsid w:val="1ABC18C9"/>
    <w:rsid w:val="1D005F50"/>
    <w:rsid w:val="1D142E13"/>
    <w:rsid w:val="1E3E6351"/>
    <w:rsid w:val="1E5012C5"/>
    <w:rsid w:val="1EF021D8"/>
    <w:rsid w:val="1F745A03"/>
    <w:rsid w:val="20003CF9"/>
    <w:rsid w:val="21936002"/>
    <w:rsid w:val="21A2798B"/>
    <w:rsid w:val="2257624A"/>
    <w:rsid w:val="22CA55FE"/>
    <w:rsid w:val="2307262C"/>
    <w:rsid w:val="2399790C"/>
    <w:rsid w:val="23CE49E1"/>
    <w:rsid w:val="24BC1DE3"/>
    <w:rsid w:val="24E6449F"/>
    <w:rsid w:val="24E75B86"/>
    <w:rsid w:val="250A751A"/>
    <w:rsid w:val="25C82BD1"/>
    <w:rsid w:val="263B10EB"/>
    <w:rsid w:val="26583F4D"/>
    <w:rsid w:val="2A0931EA"/>
    <w:rsid w:val="2AB066DF"/>
    <w:rsid w:val="2AF97A23"/>
    <w:rsid w:val="2B072CB5"/>
    <w:rsid w:val="2B9B7008"/>
    <w:rsid w:val="2BA963A3"/>
    <w:rsid w:val="2BD04639"/>
    <w:rsid w:val="2CAA17F5"/>
    <w:rsid w:val="2D4B3052"/>
    <w:rsid w:val="2EAE408A"/>
    <w:rsid w:val="2EB7219D"/>
    <w:rsid w:val="2F305A48"/>
    <w:rsid w:val="2F68760A"/>
    <w:rsid w:val="2FA53A81"/>
    <w:rsid w:val="30AA5272"/>
    <w:rsid w:val="30C82051"/>
    <w:rsid w:val="31C64669"/>
    <w:rsid w:val="320C44AD"/>
    <w:rsid w:val="33434368"/>
    <w:rsid w:val="3387340D"/>
    <w:rsid w:val="344E70D4"/>
    <w:rsid w:val="347618CD"/>
    <w:rsid w:val="34CB36DE"/>
    <w:rsid w:val="34FA1038"/>
    <w:rsid w:val="350F3115"/>
    <w:rsid w:val="374600E0"/>
    <w:rsid w:val="380A6280"/>
    <w:rsid w:val="38B7101B"/>
    <w:rsid w:val="397D69EB"/>
    <w:rsid w:val="3981463C"/>
    <w:rsid w:val="39E84254"/>
    <w:rsid w:val="39FB783A"/>
    <w:rsid w:val="3A1C7A6B"/>
    <w:rsid w:val="3A206D96"/>
    <w:rsid w:val="3A45504E"/>
    <w:rsid w:val="3AD23F69"/>
    <w:rsid w:val="3C1518AD"/>
    <w:rsid w:val="3C780E7D"/>
    <w:rsid w:val="3CD16BA7"/>
    <w:rsid w:val="3CE7197B"/>
    <w:rsid w:val="3D737DE3"/>
    <w:rsid w:val="3D867867"/>
    <w:rsid w:val="3E743E00"/>
    <w:rsid w:val="3E766892"/>
    <w:rsid w:val="3EA9414B"/>
    <w:rsid w:val="3F7D3104"/>
    <w:rsid w:val="3F9F0107"/>
    <w:rsid w:val="403C6EA2"/>
    <w:rsid w:val="41503302"/>
    <w:rsid w:val="419074CD"/>
    <w:rsid w:val="41C44604"/>
    <w:rsid w:val="42A84D7E"/>
    <w:rsid w:val="43E76585"/>
    <w:rsid w:val="44347E8C"/>
    <w:rsid w:val="44C82CFB"/>
    <w:rsid w:val="472748D4"/>
    <w:rsid w:val="478A19D7"/>
    <w:rsid w:val="47AA1A12"/>
    <w:rsid w:val="47E1681D"/>
    <w:rsid w:val="48C5735F"/>
    <w:rsid w:val="49590E05"/>
    <w:rsid w:val="498A7608"/>
    <w:rsid w:val="49AF4E1E"/>
    <w:rsid w:val="4A315396"/>
    <w:rsid w:val="4B151C3D"/>
    <w:rsid w:val="4B3E1B75"/>
    <w:rsid w:val="4B405C28"/>
    <w:rsid w:val="4B583F69"/>
    <w:rsid w:val="4C1C79EA"/>
    <w:rsid w:val="4C5714FE"/>
    <w:rsid w:val="4CC1238F"/>
    <w:rsid w:val="4CDF429D"/>
    <w:rsid w:val="4CE51220"/>
    <w:rsid w:val="4D1923F1"/>
    <w:rsid w:val="4DA91E20"/>
    <w:rsid w:val="4F465F59"/>
    <w:rsid w:val="4F47227D"/>
    <w:rsid w:val="4FC25D78"/>
    <w:rsid w:val="508B07E9"/>
    <w:rsid w:val="516D02FB"/>
    <w:rsid w:val="51B92551"/>
    <w:rsid w:val="51FC3AE1"/>
    <w:rsid w:val="537626D3"/>
    <w:rsid w:val="53AB241B"/>
    <w:rsid w:val="548F21C6"/>
    <w:rsid w:val="54B23B3A"/>
    <w:rsid w:val="560278C6"/>
    <w:rsid w:val="582C7497"/>
    <w:rsid w:val="58314293"/>
    <w:rsid w:val="58F95389"/>
    <w:rsid w:val="59E9730B"/>
    <w:rsid w:val="5A4742CF"/>
    <w:rsid w:val="5A9A1C7C"/>
    <w:rsid w:val="5A9E2A16"/>
    <w:rsid w:val="5AF23F13"/>
    <w:rsid w:val="5CE06D44"/>
    <w:rsid w:val="5E7B18C1"/>
    <w:rsid w:val="5E8D119C"/>
    <w:rsid w:val="5FB34663"/>
    <w:rsid w:val="60BC78FF"/>
    <w:rsid w:val="60FD27E4"/>
    <w:rsid w:val="614F51AC"/>
    <w:rsid w:val="616129FF"/>
    <w:rsid w:val="61CD1D8C"/>
    <w:rsid w:val="61EB590E"/>
    <w:rsid w:val="61EC18AB"/>
    <w:rsid w:val="62FC465D"/>
    <w:rsid w:val="63125967"/>
    <w:rsid w:val="64011A5E"/>
    <w:rsid w:val="643D2F22"/>
    <w:rsid w:val="648D50F7"/>
    <w:rsid w:val="64EB343C"/>
    <w:rsid w:val="655133AE"/>
    <w:rsid w:val="659C5058"/>
    <w:rsid w:val="675F6B64"/>
    <w:rsid w:val="67F26DD1"/>
    <w:rsid w:val="67FE5A31"/>
    <w:rsid w:val="68BC73E6"/>
    <w:rsid w:val="697D12C4"/>
    <w:rsid w:val="698B4E1E"/>
    <w:rsid w:val="6A6B3CDB"/>
    <w:rsid w:val="6AB4235F"/>
    <w:rsid w:val="6AD53459"/>
    <w:rsid w:val="6D2852B3"/>
    <w:rsid w:val="6E1D6D79"/>
    <w:rsid w:val="6E733D73"/>
    <w:rsid w:val="6F373594"/>
    <w:rsid w:val="6FA60342"/>
    <w:rsid w:val="6FE93DB2"/>
    <w:rsid w:val="6FEA4B1A"/>
    <w:rsid w:val="6FFA3D1B"/>
    <w:rsid w:val="700237C7"/>
    <w:rsid w:val="7081374F"/>
    <w:rsid w:val="70A907D1"/>
    <w:rsid w:val="715B096E"/>
    <w:rsid w:val="717D4E1B"/>
    <w:rsid w:val="71830314"/>
    <w:rsid w:val="718A449D"/>
    <w:rsid w:val="723669FF"/>
    <w:rsid w:val="7262798C"/>
    <w:rsid w:val="729707D2"/>
    <w:rsid w:val="73643309"/>
    <w:rsid w:val="746802E3"/>
    <w:rsid w:val="74C07AF7"/>
    <w:rsid w:val="76670216"/>
    <w:rsid w:val="76774EFB"/>
    <w:rsid w:val="77804625"/>
    <w:rsid w:val="783338BC"/>
    <w:rsid w:val="7AF722E3"/>
    <w:rsid w:val="7B572A5A"/>
    <w:rsid w:val="7B9F524E"/>
    <w:rsid w:val="7BD50379"/>
    <w:rsid w:val="7BFE7BF0"/>
    <w:rsid w:val="7C3949AC"/>
    <w:rsid w:val="7D1D0C3D"/>
    <w:rsid w:val="7E312C46"/>
    <w:rsid w:val="7EB71F23"/>
    <w:rsid w:val="7F2941FF"/>
    <w:rsid w:val="7F661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  <w:rPr>
      <w:rFonts w:ascii="Verdana" w:hAnsi="Verdana" w:eastAsia="仿宋_GB2312"/>
      <w:szCs w:val="20"/>
      <w:lang w:eastAsia="en-US"/>
    </w:rPr>
  </w:style>
  <w:style w:type="character" w:customStyle="1" w:styleId="16">
    <w:name w:val="页眉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日期 字符"/>
    <w:basedOn w:val="14"/>
    <w:link w:val="7"/>
    <w:semiHidden/>
    <w:qFormat/>
    <w:uiPriority w:val="99"/>
  </w:style>
  <w:style w:type="character" w:customStyle="1" w:styleId="19">
    <w:name w:val="fontstyle01"/>
    <w:basedOn w:val="14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20">
    <w:name w:val="纯文本 Char"/>
    <w:qFormat/>
    <w:uiPriority w:val="0"/>
    <w:rPr>
      <w:rFonts w:ascii="宋体" w:hAnsi="Tms Rmn" w:eastAsia="宋体" w:cs="宋体"/>
      <w:szCs w:val="21"/>
    </w:rPr>
  </w:style>
  <w:style w:type="character" w:customStyle="1" w:styleId="21">
    <w:name w:val="纯文本 字符"/>
    <w:basedOn w:val="14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Char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批注框文本 字符"/>
    <w:basedOn w:val="14"/>
    <w:link w:val="8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BD423-4CB3-4D5B-9DFB-54FE4C4B57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418</Words>
  <Characters>2388</Characters>
  <Lines>19</Lines>
  <Paragraphs>5</Paragraphs>
  <TotalTime>127</TotalTime>
  <ScaleCrop>false</ScaleCrop>
  <LinksUpToDate>false</LinksUpToDate>
  <CharactersWithSpaces>2801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2019-12-11T07:39:00Z</dcterms:created>
  <dc:creator>Administrator</dc:creator>
  <cp:lastModifiedBy>ZZH</cp:lastModifiedBy>
  <cp:lastPrinted>2021-07-28T08:12:00Z</cp:lastPrinted>
  <dcterms:modified xsi:type="dcterms:W3CDTF">2022-01-28T07:34:13Z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223CD92E04D4446CB63FF62C6970135A</vt:lpwstr>
  </property>
</Properties>
</file>